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734B8" w14:textId="77777777" w:rsidR="00535A26" w:rsidRPr="007312AA" w:rsidRDefault="00535A26" w:rsidP="00535A26">
      <w:pPr>
        <w:spacing w:after="0" w:line="240" w:lineRule="auto"/>
        <w:ind w:left="4395" w:firstLine="283"/>
        <w:jc w:val="both"/>
        <w:rPr>
          <w:rFonts w:ascii="Times New Roman" w:eastAsia="Times New Roman" w:hAnsi="Times New Roman" w:cs="Times New Roman"/>
        </w:rPr>
      </w:pPr>
      <w:bookmarkStart w:id="0" w:name="_GoBack"/>
      <w:r w:rsidRPr="007312AA">
        <w:rPr>
          <w:rFonts w:ascii="Times New Roman" w:eastAsia="Times New Roman" w:hAnsi="Times New Roman" w:cs="Times New Roman"/>
        </w:rPr>
        <w:t xml:space="preserve">Stojančiųjų į Utenos kolegiją išsilavinimo ir kvalifikacijų, </w:t>
      </w:r>
    </w:p>
    <w:p w14:paraId="446E3ACE" w14:textId="77777777" w:rsidR="00535A26" w:rsidRPr="007312AA" w:rsidRDefault="00535A26" w:rsidP="00535A26">
      <w:pPr>
        <w:spacing w:after="0" w:line="240" w:lineRule="auto"/>
        <w:ind w:left="4395" w:firstLine="283"/>
        <w:jc w:val="both"/>
        <w:rPr>
          <w:rFonts w:ascii="Times New Roman" w:eastAsia="Times New Roman" w:hAnsi="Times New Roman" w:cs="Times New Roman"/>
        </w:rPr>
      </w:pPr>
      <w:r w:rsidRPr="007312AA">
        <w:rPr>
          <w:rFonts w:ascii="Times New Roman" w:eastAsia="Times New Roman" w:hAnsi="Times New Roman" w:cs="Times New Roman"/>
        </w:rPr>
        <w:t xml:space="preserve">susijusių su aukštuoju mokslu ir įgytų pagal užsienio </w:t>
      </w:r>
    </w:p>
    <w:p w14:paraId="53D2C102" w14:textId="77777777" w:rsidR="00535A26" w:rsidRPr="007312AA" w:rsidRDefault="00535A26" w:rsidP="00535A26">
      <w:pPr>
        <w:spacing w:after="0" w:line="240" w:lineRule="auto"/>
        <w:ind w:left="4395" w:firstLine="283"/>
        <w:jc w:val="both"/>
        <w:rPr>
          <w:rFonts w:ascii="Times New Roman" w:eastAsia="Times New Roman" w:hAnsi="Times New Roman" w:cs="Times New Roman"/>
        </w:rPr>
      </w:pPr>
      <w:r w:rsidRPr="007312AA">
        <w:rPr>
          <w:rFonts w:ascii="Times New Roman" w:eastAsia="Times New Roman" w:hAnsi="Times New Roman" w:cs="Times New Roman"/>
        </w:rPr>
        <w:t xml:space="preserve">valstybių ir tarptautinių organizacijų švietimo programas, </w:t>
      </w:r>
    </w:p>
    <w:p w14:paraId="57435134" w14:textId="77777777" w:rsidR="00535A26" w:rsidRPr="007312AA" w:rsidRDefault="00535A26" w:rsidP="00535A26">
      <w:pPr>
        <w:spacing w:after="0" w:line="240" w:lineRule="auto"/>
        <w:ind w:left="4395" w:firstLine="283"/>
        <w:jc w:val="both"/>
        <w:rPr>
          <w:rFonts w:ascii="Times New Roman" w:eastAsia="Times New Roman" w:hAnsi="Times New Roman" w:cs="Times New Roman"/>
        </w:rPr>
      </w:pPr>
      <w:r w:rsidRPr="007312AA">
        <w:rPr>
          <w:rFonts w:ascii="Times New Roman" w:eastAsia="Times New Roman" w:hAnsi="Times New Roman" w:cs="Times New Roman"/>
        </w:rPr>
        <w:t xml:space="preserve">kvalifikacijos vertinimo ir akademinio pripažinimo </w:t>
      </w:r>
    </w:p>
    <w:p w14:paraId="4C8F0BCF" w14:textId="77777777" w:rsidR="00535A26" w:rsidRPr="007312AA" w:rsidRDefault="00535A26" w:rsidP="00535A26">
      <w:pPr>
        <w:spacing w:after="0" w:line="240" w:lineRule="auto"/>
        <w:ind w:left="4395" w:firstLine="283"/>
        <w:jc w:val="both"/>
        <w:rPr>
          <w:rFonts w:ascii="Times New Roman" w:eastAsia="Times New Roman" w:hAnsi="Times New Roman" w:cs="Times New Roman"/>
        </w:rPr>
      </w:pPr>
      <w:r w:rsidRPr="007312AA">
        <w:rPr>
          <w:rFonts w:ascii="Times New Roman" w:eastAsia="Times New Roman" w:hAnsi="Times New Roman" w:cs="Times New Roman"/>
        </w:rPr>
        <w:t>tvarkos ir kokybės užtikrinimo aprašo</w:t>
      </w:r>
    </w:p>
    <w:p w14:paraId="26C4EED3" w14:textId="77777777" w:rsidR="00535A26" w:rsidRPr="007312AA" w:rsidRDefault="00535A26" w:rsidP="00535A26">
      <w:pPr>
        <w:spacing w:after="0" w:line="240" w:lineRule="auto"/>
        <w:ind w:left="4395" w:firstLine="283"/>
        <w:jc w:val="both"/>
        <w:rPr>
          <w:rFonts w:ascii="Times New Roman" w:eastAsia="Times New Roman" w:hAnsi="Times New Roman" w:cs="Times New Roman"/>
        </w:rPr>
      </w:pPr>
      <w:r w:rsidRPr="007312AA">
        <w:rPr>
          <w:rFonts w:ascii="Times New Roman" w:eastAsia="Times New Roman" w:hAnsi="Times New Roman" w:cs="Times New Roman"/>
        </w:rPr>
        <w:t>2 PRIEDAS</w:t>
      </w:r>
    </w:p>
    <w:bookmarkEnd w:id="0"/>
    <w:p w14:paraId="6C0ADA55" w14:textId="77777777" w:rsidR="00535A26" w:rsidRPr="007312AA" w:rsidRDefault="00535A26" w:rsidP="00535A26">
      <w:pPr>
        <w:spacing w:after="240" w:line="240" w:lineRule="auto"/>
        <w:jc w:val="center"/>
        <w:rPr>
          <w:rFonts w:ascii="Times New Roman" w:eastAsia="Times New Roman" w:hAnsi="Times New Roman" w:cs="Times New Roman"/>
          <w:b/>
          <w:bCs/>
        </w:rPr>
      </w:pPr>
    </w:p>
    <w:p w14:paraId="7766EC3B" w14:textId="77777777" w:rsidR="00535A26" w:rsidRPr="007312AA" w:rsidRDefault="00535A26" w:rsidP="00535A26">
      <w:pPr>
        <w:spacing w:after="240" w:line="240" w:lineRule="auto"/>
        <w:jc w:val="center"/>
      </w:pPr>
      <w:bookmarkStart w:id="1" w:name="_Hlk187069893"/>
      <w:r w:rsidRPr="007312AA">
        <w:rPr>
          <w:rFonts w:ascii="Times New Roman" w:eastAsia="Times New Roman" w:hAnsi="Times New Roman" w:cs="Times New Roman"/>
          <w:b/>
          <w:bCs/>
        </w:rPr>
        <w:t xml:space="preserve">UTENOS KOLEGIJA </w:t>
      </w:r>
    </w:p>
    <w:p w14:paraId="42818F4A" w14:textId="77777777" w:rsidR="00535A26" w:rsidRPr="007312AA" w:rsidRDefault="00535A26" w:rsidP="00535A26">
      <w:pPr>
        <w:spacing w:before="240" w:after="240" w:line="240" w:lineRule="auto"/>
        <w:jc w:val="center"/>
      </w:pPr>
      <w:r w:rsidRPr="007312AA">
        <w:rPr>
          <w:rFonts w:ascii="Times New Roman" w:eastAsia="Times New Roman" w:hAnsi="Times New Roman" w:cs="Times New Roman"/>
          <w:b/>
          <w:bCs/>
        </w:rPr>
        <w:t>SPRENDIMAS</w:t>
      </w:r>
    </w:p>
    <w:p w14:paraId="7F62ED75" w14:textId="77777777" w:rsidR="00535A26" w:rsidRPr="007312AA" w:rsidRDefault="00535A26" w:rsidP="00535A26">
      <w:pPr>
        <w:spacing w:before="240" w:after="240" w:line="240" w:lineRule="auto"/>
        <w:jc w:val="center"/>
      </w:pPr>
      <w:r w:rsidRPr="007312AA">
        <w:rPr>
          <w:rFonts w:ascii="Times New Roman" w:eastAsia="Times New Roman" w:hAnsi="Times New Roman" w:cs="Times New Roman"/>
          <w:b/>
          <w:bCs/>
        </w:rPr>
        <w:t>DĖL UŽSIENIO KVALIFIKACIJOS AKADEMINIO PRIPAŽINIMO</w:t>
      </w:r>
    </w:p>
    <w:bookmarkEnd w:id="1"/>
    <w:p w14:paraId="113CB112" w14:textId="77777777" w:rsidR="00535A26" w:rsidRPr="007312AA" w:rsidRDefault="00535A26" w:rsidP="00535A26">
      <w:pPr>
        <w:spacing w:before="240" w:after="240" w:line="240" w:lineRule="auto"/>
        <w:jc w:val="center"/>
      </w:pPr>
      <w:r w:rsidRPr="007312AA">
        <w:rPr>
          <w:rFonts w:ascii="Times New Roman" w:eastAsia="Times New Roman" w:hAnsi="Times New Roman" w:cs="Times New Roman"/>
        </w:rPr>
        <w:t>202x m. ________________ d.  Nr. KV-</w:t>
      </w:r>
    </w:p>
    <w:tbl>
      <w:tblPr>
        <w:tblW w:w="0" w:type="auto"/>
        <w:tblLayout w:type="fixed"/>
        <w:tblLook w:val="0600" w:firstRow="0" w:lastRow="0" w:firstColumn="0" w:lastColumn="0" w:noHBand="1" w:noVBand="1"/>
      </w:tblPr>
      <w:tblGrid>
        <w:gridCol w:w="3645"/>
        <w:gridCol w:w="5676"/>
      </w:tblGrid>
      <w:tr w:rsidR="00535A26" w:rsidRPr="007312AA" w14:paraId="72FD05B3" w14:textId="77777777" w:rsidTr="00686A9B">
        <w:trPr>
          <w:trHeight w:val="615"/>
        </w:trPr>
        <w:tc>
          <w:tcPr>
            <w:tcW w:w="3645" w:type="dxa"/>
            <w:tcMar>
              <w:top w:w="100" w:type="dxa"/>
              <w:left w:w="100" w:type="dxa"/>
              <w:bottom w:w="100" w:type="dxa"/>
              <w:right w:w="100" w:type="dxa"/>
            </w:tcMar>
          </w:tcPr>
          <w:p w14:paraId="6061B3EA" w14:textId="77777777" w:rsidR="00535A26" w:rsidRPr="007312AA" w:rsidRDefault="00535A26" w:rsidP="00686A9B">
            <w:pPr>
              <w:spacing w:before="240" w:after="240" w:line="240" w:lineRule="auto"/>
            </w:pPr>
            <w:r w:rsidRPr="007312AA">
              <w:rPr>
                <w:rFonts w:ascii="Times New Roman" w:eastAsia="Times New Roman" w:hAnsi="Times New Roman" w:cs="Times New Roman"/>
              </w:rPr>
              <w:t xml:space="preserve">Akademinio pripažinimo tikslas  </w:t>
            </w:r>
          </w:p>
        </w:tc>
        <w:tc>
          <w:tcPr>
            <w:tcW w:w="5676" w:type="dxa"/>
            <w:tcMar>
              <w:top w:w="100" w:type="dxa"/>
              <w:left w:w="100" w:type="dxa"/>
              <w:bottom w:w="100" w:type="dxa"/>
              <w:right w:w="100" w:type="dxa"/>
            </w:tcMar>
          </w:tcPr>
          <w:p w14:paraId="1F3FF093" w14:textId="77777777" w:rsidR="00535A26" w:rsidRPr="007312AA" w:rsidRDefault="00535A26" w:rsidP="00686A9B">
            <w:pPr>
              <w:spacing w:before="240" w:after="240" w:line="240" w:lineRule="auto"/>
              <w:jc w:val="center"/>
            </w:pPr>
            <w:r w:rsidRPr="007312AA">
              <w:rPr>
                <w:rFonts w:ascii="Times New Roman" w:eastAsia="Times New Roman" w:hAnsi="Times New Roman" w:cs="Times New Roman"/>
              </w:rPr>
              <w:t>Siekiama studijuoti Utenos kolegijoje</w:t>
            </w:r>
          </w:p>
        </w:tc>
      </w:tr>
      <w:tr w:rsidR="00535A26" w:rsidRPr="007312AA" w14:paraId="6CC8C2A8" w14:textId="77777777" w:rsidTr="00686A9B">
        <w:trPr>
          <w:trHeight w:val="570"/>
        </w:trPr>
        <w:tc>
          <w:tcPr>
            <w:tcW w:w="3645" w:type="dxa"/>
            <w:tcMar>
              <w:top w:w="100" w:type="dxa"/>
              <w:left w:w="100" w:type="dxa"/>
              <w:bottom w:w="100" w:type="dxa"/>
              <w:right w:w="100" w:type="dxa"/>
            </w:tcMar>
          </w:tcPr>
          <w:p w14:paraId="6FD09D1C" w14:textId="77777777" w:rsidR="00535A26" w:rsidRPr="007312AA" w:rsidRDefault="00535A26" w:rsidP="00686A9B">
            <w:pPr>
              <w:spacing w:before="240" w:after="240" w:line="240" w:lineRule="auto"/>
            </w:pPr>
            <w:r w:rsidRPr="007312AA">
              <w:rPr>
                <w:rFonts w:ascii="Times New Roman" w:eastAsia="Times New Roman" w:hAnsi="Times New Roman" w:cs="Times New Roman"/>
              </w:rPr>
              <w:t>Užsienio kvalifikacija</w:t>
            </w:r>
          </w:p>
        </w:tc>
        <w:tc>
          <w:tcPr>
            <w:tcW w:w="5676" w:type="dxa"/>
            <w:tcMar>
              <w:top w:w="100" w:type="dxa"/>
              <w:left w:w="100" w:type="dxa"/>
              <w:bottom w:w="100" w:type="dxa"/>
              <w:right w:w="100" w:type="dxa"/>
            </w:tcMar>
          </w:tcPr>
          <w:p w14:paraId="31282965" w14:textId="77777777" w:rsidR="00535A26" w:rsidRPr="007312AA" w:rsidRDefault="00535A26" w:rsidP="00686A9B">
            <w:pPr>
              <w:spacing w:before="240" w:after="240" w:line="240" w:lineRule="auto"/>
              <w:jc w:val="center"/>
            </w:pPr>
            <w:r w:rsidRPr="007312AA">
              <w:rPr>
                <w:rFonts w:ascii="Times New Roman" w:eastAsia="Times New Roman" w:hAnsi="Times New Roman" w:cs="Times New Roman"/>
              </w:rPr>
              <w:t xml:space="preserve"> </w:t>
            </w:r>
          </w:p>
        </w:tc>
      </w:tr>
      <w:tr w:rsidR="00535A26" w:rsidRPr="007312AA" w14:paraId="5A988F88" w14:textId="77777777" w:rsidTr="00686A9B">
        <w:trPr>
          <w:trHeight w:val="570"/>
        </w:trPr>
        <w:tc>
          <w:tcPr>
            <w:tcW w:w="3645" w:type="dxa"/>
            <w:tcMar>
              <w:top w:w="100" w:type="dxa"/>
              <w:left w:w="100" w:type="dxa"/>
              <w:bottom w:w="100" w:type="dxa"/>
              <w:right w:w="100" w:type="dxa"/>
            </w:tcMar>
          </w:tcPr>
          <w:p w14:paraId="6CE0A55C" w14:textId="77777777" w:rsidR="00535A26" w:rsidRPr="007312AA" w:rsidRDefault="00535A26" w:rsidP="00686A9B">
            <w:pPr>
              <w:spacing w:before="240" w:after="240" w:line="240" w:lineRule="auto"/>
            </w:pPr>
            <w:r w:rsidRPr="007312AA">
              <w:rPr>
                <w:rFonts w:ascii="Times New Roman" w:eastAsia="Times New Roman" w:hAnsi="Times New Roman" w:cs="Times New Roman"/>
              </w:rPr>
              <w:t>Įgijimo metai</w:t>
            </w:r>
          </w:p>
        </w:tc>
        <w:tc>
          <w:tcPr>
            <w:tcW w:w="5676" w:type="dxa"/>
            <w:tcMar>
              <w:top w:w="100" w:type="dxa"/>
              <w:left w:w="100" w:type="dxa"/>
              <w:bottom w:w="100" w:type="dxa"/>
              <w:right w:w="100" w:type="dxa"/>
            </w:tcMar>
          </w:tcPr>
          <w:p w14:paraId="01349DDB" w14:textId="77777777" w:rsidR="00535A26" w:rsidRPr="007312AA" w:rsidRDefault="00535A26" w:rsidP="00686A9B">
            <w:pPr>
              <w:spacing w:before="240" w:after="240" w:line="240" w:lineRule="auto"/>
              <w:jc w:val="center"/>
            </w:pPr>
            <w:r w:rsidRPr="007312AA">
              <w:rPr>
                <w:rFonts w:ascii="Times New Roman" w:eastAsia="Times New Roman" w:hAnsi="Times New Roman" w:cs="Times New Roman"/>
              </w:rPr>
              <w:t xml:space="preserve"> </w:t>
            </w:r>
          </w:p>
        </w:tc>
      </w:tr>
      <w:tr w:rsidR="00535A26" w:rsidRPr="007312AA" w14:paraId="0B381A0C" w14:textId="77777777" w:rsidTr="00686A9B">
        <w:trPr>
          <w:trHeight w:val="570"/>
        </w:trPr>
        <w:tc>
          <w:tcPr>
            <w:tcW w:w="3645" w:type="dxa"/>
            <w:tcMar>
              <w:top w:w="100" w:type="dxa"/>
              <w:left w:w="100" w:type="dxa"/>
              <w:bottom w:w="100" w:type="dxa"/>
              <w:right w:w="100" w:type="dxa"/>
            </w:tcMar>
          </w:tcPr>
          <w:p w14:paraId="29C73E5C" w14:textId="77777777" w:rsidR="00535A26" w:rsidRPr="007312AA" w:rsidRDefault="00535A26" w:rsidP="00686A9B">
            <w:pPr>
              <w:spacing w:before="240" w:after="240" w:line="240" w:lineRule="auto"/>
            </w:pPr>
            <w:r w:rsidRPr="007312AA">
              <w:rPr>
                <w:rFonts w:ascii="Times New Roman" w:eastAsia="Times New Roman" w:hAnsi="Times New Roman" w:cs="Times New Roman"/>
              </w:rPr>
              <w:t>Dokumento išdavėjas</w:t>
            </w:r>
          </w:p>
        </w:tc>
        <w:tc>
          <w:tcPr>
            <w:tcW w:w="5676" w:type="dxa"/>
            <w:tcMar>
              <w:top w:w="100" w:type="dxa"/>
              <w:left w:w="100" w:type="dxa"/>
              <w:bottom w:w="100" w:type="dxa"/>
              <w:right w:w="100" w:type="dxa"/>
            </w:tcMar>
          </w:tcPr>
          <w:p w14:paraId="5BB00837" w14:textId="77777777" w:rsidR="00535A26" w:rsidRPr="007312AA" w:rsidRDefault="00535A26" w:rsidP="00686A9B">
            <w:pPr>
              <w:spacing w:before="240" w:after="240" w:line="240" w:lineRule="auto"/>
              <w:jc w:val="center"/>
            </w:pPr>
            <w:r w:rsidRPr="007312AA">
              <w:rPr>
                <w:rFonts w:ascii="Times New Roman" w:eastAsia="Times New Roman" w:hAnsi="Times New Roman" w:cs="Times New Roman"/>
              </w:rPr>
              <w:t xml:space="preserve"> </w:t>
            </w:r>
          </w:p>
        </w:tc>
      </w:tr>
      <w:tr w:rsidR="00535A26" w:rsidRPr="007312AA" w14:paraId="028CF1AD" w14:textId="77777777" w:rsidTr="00686A9B">
        <w:trPr>
          <w:trHeight w:val="570"/>
        </w:trPr>
        <w:tc>
          <w:tcPr>
            <w:tcW w:w="3645" w:type="dxa"/>
            <w:tcMar>
              <w:top w:w="100" w:type="dxa"/>
              <w:left w:w="100" w:type="dxa"/>
              <w:bottom w:w="100" w:type="dxa"/>
              <w:right w:w="100" w:type="dxa"/>
            </w:tcMar>
          </w:tcPr>
          <w:p w14:paraId="024BFFB3" w14:textId="77777777" w:rsidR="00535A26" w:rsidRPr="007312AA" w:rsidRDefault="00535A26" w:rsidP="00686A9B">
            <w:pPr>
              <w:spacing w:before="240" w:after="240" w:line="240" w:lineRule="auto"/>
            </w:pPr>
            <w:r w:rsidRPr="007312AA">
              <w:rPr>
                <w:rFonts w:ascii="Times New Roman" w:eastAsia="Times New Roman" w:hAnsi="Times New Roman" w:cs="Times New Roman"/>
              </w:rPr>
              <w:t>Kilmės šalis arba teritorija</w:t>
            </w:r>
          </w:p>
        </w:tc>
        <w:tc>
          <w:tcPr>
            <w:tcW w:w="5676" w:type="dxa"/>
            <w:tcMar>
              <w:top w:w="100" w:type="dxa"/>
              <w:left w:w="100" w:type="dxa"/>
              <w:bottom w:w="100" w:type="dxa"/>
              <w:right w:w="100" w:type="dxa"/>
            </w:tcMar>
          </w:tcPr>
          <w:p w14:paraId="389D387D" w14:textId="77777777" w:rsidR="00535A26" w:rsidRPr="007312AA" w:rsidRDefault="00535A26" w:rsidP="00686A9B">
            <w:pPr>
              <w:spacing w:before="240" w:after="240" w:line="240" w:lineRule="auto"/>
              <w:jc w:val="center"/>
            </w:pPr>
            <w:r w:rsidRPr="007312AA">
              <w:rPr>
                <w:rFonts w:ascii="Times New Roman" w:eastAsia="Times New Roman" w:hAnsi="Times New Roman" w:cs="Times New Roman"/>
              </w:rPr>
              <w:t xml:space="preserve"> </w:t>
            </w:r>
          </w:p>
        </w:tc>
      </w:tr>
      <w:tr w:rsidR="00535A26" w:rsidRPr="007312AA" w14:paraId="090F6D41" w14:textId="77777777" w:rsidTr="00686A9B">
        <w:trPr>
          <w:trHeight w:val="570"/>
        </w:trPr>
        <w:tc>
          <w:tcPr>
            <w:tcW w:w="3645" w:type="dxa"/>
            <w:tcMar>
              <w:top w:w="100" w:type="dxa"/>
              <w:left w:w="100" w:type="dxa"/>
              <w:bottom w:w="100" w:type="dxa"/>
              <w:right w:w="100" w:type="dxa"/>
            </w:tcMar>
          </w:tcPr>
          <w:p w14:paraId="7420314B" w14:textId="77777777" w:rsidR="00535A26" w:rsidRPr="007312AA" w:rsidRDefault="00535A26" w:rsidP="00686A9B">
            <w:pPr>
              <w:spacing w:before="240" w:after="240" w:line="240" w:lineRule="auto"/>
            </w:pPr>
            <w:r w:rsidRPr="007312AA">
              <w:rPr>
                <w:rFonts w:ascii="Times New Roman" w:eastAsia="Times New Roman" w:hAnsi="Times New Roman" w:cs="Times New Roman"/>
              </w:rPr>
              <w:t>Gavėjas išsilavinimo dokumente</w:t>
            </w:r>
          </w:p>
        </w:tc>
        <w:tc>
          <w:tcPr>
            <w:tcW w:w="5676" w:type="dxa"/>
            <w:tcMar>
              <w:top w:w="100" w:type="dxa"/>
              <w:left w:w="100" w:type="dxa"/>
              <w:bottom w:w="100" w:type="dxa"/>
              <w:right w:w="100" w:type="dxa"/>
            </w:tcMar>
          </w:tcPr>
          <w:p w14:paraId="120FF3FA" w14:textId="77777777" w:rsidR="00535A26" w:rsidRPr="007312AA" w:rsidRDefault="00535A26" w:rsidP="00686A9B">
            <w:pPr>
              <w:spacing w:before="240" w:after="240" w:line="240" w:lineRule="auto"/>
              <w:jc w:val="center"/>
            </w:pPr>
            <w:r w:rsidRPr="007312AA">
              <w:rPr>
                <w:rFonts w:ascii="Times New Roman" w:eastAsia="Times New Roman" w:hAnsi="Times New Roman" w:cs="Times New Roman"/>
              </w:rPr>
              <w:t xml:space="preserve"> </w:t>
            </w:r>
          </w:p>
        </w:tc>
      </w:tr>
      <w:tr w:rsidR="00535A26" w:rsidRPr="007312AA" w14:paraId="5388E722" w14:textId="77777777" w:rsidTr="00686A9B">
        <w:trPr>
          <w:trHeight w:val="2145"/>
        </w:trPr>
        <w:tc>
          <w:tcPr>
            <w:tcW w:w="3645" w:type="dxa"/>
            <w:tcMar>
              <w:top w:w="100" w:type="dxa"/>
              <w:left w:w="100" w:type="dxa"/>
              <w:bottom w:w="100" w:type="dxa"/>
              <w:right w:w="100" w:type="dxa"/>
            </w:tcMar>
          </w:tcPr>
          <w:p w14:paraId="2FDF0944" w14:textId="77777777" w:rsidR="00535A26" w:rsidRPr="007312AA" w:rsidRDefault="00535A26" w:rsidP="00686A9B">
            <w:pPr>
              <w:spacing w:before="240" w:after="240" w:line="240" w:lineRule="auto"/>
            </w:pPr>
            <w:r w:rsidRPr="007312AA">
              <w:rPr>
                <w:rFonts w:ascii="Times New Roman" w:eastAsia="Times New Roman" w:hAnsi="Times New Roman" w:cs="Times New Roman"/>
                <w:b/>
                <w:bCs/>
              </w:rPr>
              <w:t>Pripažinimo sprendimas</w:t>
            </w:r>
          </w:p>
        </w:tc>
        <w:tc>
          <w:tcPr>
            <w:tcW w:w="5676" w:type="dxa"/>
            <w:tcMar>
              <w:top w:w="100" w:type="dxa"/>
              <w:left w:w="100" w:type="dxa"/>
              <w:bottom w:w="100" w:type="dxa"/>
              <w:right w:w="100" w:type="dxa"/>
            </w:tcMar>
          </w:tcPr>
          <w:p w14:paraId="1A734774" w14:textId="77777777" w:rsidR="00535A26" w:rsidRPr="007312AA" w:rsidRDefault="00535A26" w:rsidP="00686A9B">
            <w:pPr>
              <w:spacing w:before="240" w:after="240" w:line="240" w:lineRule="auto"/>
              <w:rPr>
                <w:rFonts w:ascii="Times New Roman" w:eastAsia="Times New Roman" w:hAnsi="Times New Roman" w:cs="Times New Roman"/>
              </w:rPr>
            </w:pPr>
          </w:p>
        </w:tc>
      </w:tr>
    </w:tbl>
    <w:p w14:paraId="4617F3D2" w14:textId="77777777" w:rsidR="00535A26" w:rsidRDefault="00535A26" w:rsidP="00535A26">
      <w:pPr>
        <w:spacing w:before="240" w:after="240" w:line="240" w:lineRule="auto"/>
        <w:jc w:val="center"/>
        <w:rPr>
          <w:rFonts w:ascii="Times New Roman" w:eastAsia="Times New Roman" w:hAnsi="Times New Roman" w:cs="Times New Roman"/>
          <w:b/>
          <w:bCs/>
        </w:rPr>
      </w:pPr>
    </w:p>
    <w:p w14:paraId="1FF18B6B" w14:textId="77777777" w:rsidR="00535A26" w:rsidRDefault="00535A26" w:rsidP="00535A26">
      <w:pPr>
        <w:spacing w:before="240" w:after="240" w:line="240" w:lineRule="auto"/>
        <w:jc w:val="center"/>
        <w:rPr>
          <w:rFonts w:ascii="Times New Roman" w:eastAsia="Times New Roman" w:hAnsi="Times New Roman" w:cs="Times New Roman"/>
          <w:b/>
          <w:bCs/>
        </w:rPr>
      </w:pPr>
    </w:p>
    <w:p w14:paraId="107E5054" w14:textId="77777777" w:rsidR="00535A26" w:rsidRDefault="00535A26" w:rsidP="00535A26">
      <w:pPr>
        <w:spacing w:before="240" w:after="240" w:line="240" w:lineRule="auto"/>
        <w:jc w:val="center"/>
        <w:rPr>
          <w:rFonts w:ascii="Times New Roman" w:eastAsia="Times New Roman" w:hAnsi="Times New Roman" w:cs="Times New Roman"/>
          <w:b/>
          <w:bCs/>
        </w:rPr>
      </w:pPr>
    </w:p>
    <w:p w14:paraId="58DC72CB" w14:textId="77777777" w:rsidR="00535A26" w:rsidRDefault="00535A26" w:rsidP="00535A26">
      <w:pPr>
        <w:spacing w:before="240" w:after="240" w:line="240" w:lineRule="auto"/>
        <w:jc w:val="center"/>
        <w:rPr>
          <w:rFonts w:ascii="Times New Roman" w:eastAsia="Times New Roman" w:hAnsi="Times New Roman" w:cs="Times New Roman"/>
          <w:b/>
          <w:bCs/>
        </w:rPr>
      </w:pPr>
    </w:p>
    <w:p w14:paraId="1C2CAC24" w14:textId="77777777" w:rsidR="00535A26" w:rsidRPr="007312AA" w:rsidRDefault="00535A26" w:rsidP="00535A26">
      <w:pPr>
        <w:spacing w:before="240" w:after="240" w:line="240" w:lineRule="auto"/>
        <w:jc w:val="center"/>
      </w:pPr>
      <w:r w:rsidRPr="007312AA">
        <w:rPr>
          <w:rFonts w:ascii="Times New Roman" w:eastAsia="Times New Roman" w:hAnsi="Times New Roman" w:cs="Times New Roman"/>
          <w:b/>
          <w:bCs/>
        </w:rPr>
        <w:lastRenderedPageBreak/>
        <w:t xml:space="preserve"> Informacija apie įgytą užsienio kvalifikaciją:</w:t>
      </w:r>
    </w:p>
    <w:p w14:paraId="78D4A51C" w14:textId="77777777" w:rsidR="00535A26" w:rsidRPr="007312AA" w:rsidRDefault="00535A26" w:rsidP="00535A26">
      <w:pPr>
        <w:spacing w:before="240" w:after="240" w:line="240" w:lineRule="auto"/>
        <w:jc w:val="center"/>
      </w:pPr>
      <w:r w:rsidRPr="007312AA">
        <w:rPr>
          <w:rFonts w:ascii="Times New Roman" w:eastAsia="Times New Roman" w:hAnsi="Times New Roman" w:cs="Times New Roman"/>
        </w:rPr>
        <w:t xml:space="preserve"> Rašomas tekstas </w:t>
      </w:r>
      <w:proofErr w:type="spellStart"/>
      <w:r w:rsidRPr="007312AA">
        <w:rPr>
          <w:rFonts w:ascii="Times New Roman" w:eastAsia="Times New Roman" w:hAnsi="Times New Roman" w:cs="Times New Roman"/>
        </w:rPr>
        <w:t>xxxxxxxxxxxxxx</w:t>
      </w:r>
      <w:proofErr w:type="spellEnd"/>
    </w:p>
    <w:p w14:paraId="10CF20AE" w14:textId="77777777" w:rsidR="00535A26" w:rsidRPr="007312AA" w:rsidRDefault="00535A26" w:rsidP="00535A26">
      <w:pPr>
        <w:spacing w:before="240" w:after="240" w:line="240" w:lineRule="auto"/>
        <w:jc w:val="center"/>
      </w:pPr>
      <w:r w:rsidRPr="007312AA">
        <w:rPr>
          <w:rFonts w:ascii="Times New Roman" w:eastAsia="Times New Roman" w:hAnsi="Times New Roman" w:cs="Times New Roman"/>
        </w:rPr>
        <w:t>Sprendimo priedėlis pridedamas prie šio sprendimo (1 lapas).</w:t>
      </w:r>
    </w:p>
    <w:p w14:paraId="75257046" w14:textId="77777777" w:rsidR="00535A26" w:rsidRPr="007312AA" w:rsidRDefault="00535A26" w:rsidP="00535A26">
      <w:pPr>
        <w:spacing w:before="240" w:after="240" w:line="240" w:lineRule="auto"/>
        <w:jc w:val="center"/>
      </w:pPr>
      <w:r w:rsidRPr="007312AA">
        <w:rPr>
          <w:rFonts w:ascii="Times New Roman" w:eastAsia="Times New Roman" w:hAnsi="Times New Roman" w:cs="Times New Roman"/>
        </w:rPr>
        <w:t xml:space="preserve">  </w:t>
      </w:r>
    </w:p>
    <w:p w14:paraId="38512F0E" w14:textId="77777777" w:rsidR="00535A26" w:rsidRPr="00457883" w:rsidRDefault="00535A26" w:rsidP="00535A26">
      <w:pPr>
        <w:spacing w:before="240" w:after="240" w:line="240" w:lineRule="auto"/>
        <w:jc w:val="center"/>
        <w:rPr>
          <w:sz w:val="24"/>
          <w:szCs w:val="24"/>
        </w:rPr>
      </w:pPr>
      <w:r w:rsidRPr="007312AA">
        <w:rPr>
          <w:rFonts w:ascii="Times New Roman" w:eastAsia="Times New Roman" w:hAnsi="Times New Roman" w:cs="Times New Roman"/>
          <w:b/>
          <w:bCs/>
          <w:sz w:val="24"/>
          <w:szCs w:val="24"/>
        </w:rPr>
        <w:t>Sprendimo priedėlis</w:t>
      </w:r>
    </w:p>
    <w:p w14:paraId="1D870F38" w14:textId="77777777" w:rsidR="00535A26" w:rsidRDefault="00535A26" w:rsidP="00535A26">
      <w:pPr>
        <w:spacing w:after="0" w:line="240" w:lineRule="auto"/>
        <w:rPr>
          <w:rFonts w:ascii="Times New Roman" w:eastAsia="Times New Roman" w:hAnsi="Times New Roman" w:cs="Times New Roman"/>
          <w:b/>
          <w:bCs/>
          <w:sz w:val="24"/>
          <w:szCs w:val="24"/>
        </w:rPr>
      </w:pPr>
    </w:p>
    <w:p w14:paraId="615F96BB" w14:textId="77777777" w:rsidR="00535A26" w:rsidRPr="001364D6" w:rsidRDefault="00535A26" w:rsidP="00535A26">
      <w:pPr>
        <w:spacing w:after="0" w:line="240" w:lineRule="auto"/>
        <w:rPr>
          <w:rFonts w:ascii="Times New Roman" w:eastAsia="Times New Roman" w:hAnsi="Times New Roman" w:cs="Times New Roman"/>
          <w:b/>
          <w:bCs/>
          <w:sz w:val="24"/>
          <w:szCs w:val="24"/>
        </w:rPr>
      </w:pPr>
      <w:r w:rsidRPr="007312AA">
        <w:rPr>
          <w:rFonts w:ascii="Times New Roman" w:eastAsia="Times New Roman" w:hAnsi="Times New Roman" w:cs="Times New Roman"/>
          <w:b/>
          <w:bCs/>
          <w:sz w:val="24"/>
          <w:szCs w:val="24"/>
        </w:rPr>
        <w:t>Sprendimo tikslas</w:t>
      </w:r>
    </w:p>
    <w:p w14:paraId="2B267766" w14:textId="77777777" w:rsidR="00535A26" w:rsidRPr="007312AA" w:rsidRDefault="00535A26" w:rsidP="00535A26">
      <w:pPr>
        <w:spacing w:after="0" w:line="240" w:lineRule="auto"/>
        <w:jc w:val="both"/>
        <w:rPr>
          <w:rFonts w:ascii="Times New Roman" w:eastAsia="Times New Roman" w:hAnsi="Times New Roman" w:cs="Times New Roman"/>
          <w:sz w:val="24"/>
          <w:szCs w:val="24"/>
        </w:rPr>
      </w:pPr>
      <w:r w:rsidRPr="007312AA">
        <w:rPr>
          <w:rFonts w:ascii="Times New Roman" w:eastAsia="Times New Roman" w:hAnsi="Times New Roman" w:cs="Times New Roman"/>
          <w:sz w:val="24"/>
          <w:szCs w:val="24"/>
        </w:rPr>
        <w:t>Šiuo sprendimu liudijamas kvalifikacijos vertinimo metu nustatytas jos akademinis lygmuo Lietuvos Respublikoje. Akademinis lygmuo nustatomas lyginant užsienio kvalifikaciją su sprendimo priėmimo metu Lietuvoje teikiamomis kvalifikacijomis. Sprendimas gali būti naudojamas siekiant studijuoti tik Utenos kolegijoje, bet juo nėra garantuojamas priėmimas į atitinkamas studijas.</w:t>
      </w:r>
    </w:p>
    <w:p w14:paraId="7DBF5A5E" w14:textId="77777777" w:rsidR="00535A26" w:rsidRDefault="00535A26" w:rsidP="00535A26">
      <w:pPr>
        <w:spacing w:after="0" w:line="240" w:lineRule="auto"/>
        <w:jc w:val="both"/>
        <w:rPr>
          <w:rFonts w:ascii="Times New Roman" w:eastAsia="Times New Roman" w:hAnsi="Times New Roman" w:cs="Times New Roman"/>
          <w:b/>
          <w:bCs/>
          <w:sz w:val="24"/>
          <w:szCs w:val="24"/>
        </w:rPr>
      </w:pPr>
    </w:p>
    <w:p w14:paraId="30FAD1F1" w14:textId="77777777" w:rsidR="00535A26" w:rsidRPr="007312AA" w:rsidRDefault="00535A26" w:rsidP="00535A26">
      <w:pPr>
        <w:spacing w:after="0" w:line="240" w:lineRule="auto"/>
        <w:jc w:val="both"/>
        <w:rPr>
          <w:rFonts w:ascii="Times New Roman" w:eastAsia="Times New Roman" w:hAnsi="Times New Roman" w:cs="Times New Roman"/>
          <w:b/>
          <w:bCs/>
          <w:sz w:val="24"/>
          <w:szCs w:val="24"/>
        </w:rPr>
      </w:pPr>
      <w:r w:rsidRPr="007312AA">
        <w:rPr>
          <w:rFonts w:ascii="Times New Roman" w:eastAsia="Times New Roman" w:hAnsi="Times New Roman" w:cs="Times New Roman"/>
          <w:b/>
          <w:bCs/>
          <w:sz w:val="24"/>
          <w:szCs w:val="24"/>
        </w:rPr>
        <w:t>Teisinis pagrindas</w:t>
      </w:r>
    </w:p>
    <w:p w14:paraId="2154E5E4" w14:textId="77777777" w:rsidR="00535A26" w:rsidRPr="007312AA" w:rsidRDefault="00535A26" w:rsidP="00535A26">
      <w:pPr>
        <w:spacing w:after="0" w:line="240" w:lineRule="auto"/>
        <w:jc w:val="both"/>
        <w:rPr>
          <w:rFonts w:ascii="Times New Roman" w:eastAsia="Times New Roman" w:hAnsi="Times New Roman" w:cs="Times New Roman"/>
          <w:sz w:val="24"/>
          <w:szCs w:val="24"/>
        </w:rPr>
      </w:pPr>
      <w:r w:rsidRPr="007312AA">
        <w:rPr>
          <w:rFonts w:ascii="Times New Roman" w:eastAsia="Times New Roman" w:hAnsi="Times New Roman" w:cs="Times New Roman"/>
          <w:sz w:val="24"/>
          <w:szCs w:val="24"/>
        </w:rPr>
        <w:t>Sprendimas priimtas remiantis šiais pagrindiniais teisės aktais:</w:t>
      </w:r>
    </w:p>
    <w:p w14:paraId="51041F6A" w14:textId="77777777" w:rsidR="00535A26" w:rsidRPr="007312AA" w:rsidRDefault="00535A26" w:rsidP="00535A26">
      <w:pPr>
        <w:pStyle w:val="ListParagraph"/>
        <w:numPr>
          <w:ilvl w:val="0"/>
          <w:numId w:val="1"/>
        </w:numPr>
        <w:jc w:val="both"/>
        <w:rPr>
          <w:rFonts w:eastAsia="Times New Roman"/>
        </w:rPr>
      </w:pPr>
      <w:r w:rsidRPr="007312AA">
        <w:rPr>
          <w:rFonts w:eastAsia="Times New Roman"/>
        </w:rPr>
        <w:t>Išsilavinimo ir kvalifikacijų, susijusių su aukštuoju mokslu ir įgytų pagal užsienio valstybių ir tarptautinių organizacijų švietimo programas, pripažinimo tvarkos aprašu, patvirtintu Lietuvos Respublikos Vyriausybės 2012 m. vasario 29 d. nutarimu Nr. 212;</w:t>
      </w:r>
    </w:p>
    <w:p w14:paraId="2635F934" w14:textId="77777777" w:rsidR="00535A26" w:rsidRPr="007312AA" w:rsidRDefault="00535A26" w:rsidP="00535A26">
      <w:pPr>
        <w:pStyle w:val="ListParagraph"/>
        <w:numPr>
          <w:ilvl w:val="0"/>
          <w:numId w:val="1"/>
        </w:numPr>
        <w:jc w:val="both"/>
        <w:rPr>
          <w:rFonts w:eastAsia="Times New Roman"/>
        </w:rPr>
      </w:pPr>
      <w:r w:rsidRPr="007312AA">
        <w:rPr>
          <w:rFonts w:eastAsia="Times New Roman"/>
        </w:rPr>
        <w:t>Išsilavinimo ir kvalifikacijų, susijusių su aukštuoju mokslu ir įgytų pagal užsienio valstybių ir tarptautinių organizacijų švietimo programas, vertinimo metodika, patvirtinta SKVC direktoriaus 2012 m. gegužės 28 d. įsakymu Nr. V-48.</w:t>
      </w:r>
    </w:p>
    <w:p w14:paraId="7FA6159B" w14:textId="77777777" w:rsidR="00535A26" w:rsidRDefault="00535A26" w:rsidP="00535A26">
      <w:pPr>
        <w:spacing w:after="0" w:line="240" w:lineRule="auto"/>
        <w:jc w:val="both"/>
        <w:rPr>
          <w:rFonts w:ascii="Times New Roman" w:eastAsia="Times New Roman" w:hAnsi="Times New Roman" w:cs="Times New Roman"/>
          <w:b/>
          <w:bCs/>
          <w:sz w:val="24"/>
          <w:szCs w:val="24"/>
        </w:rPr>
      </w:pPr>
    </w:p>
    <w:p w14:paraId="2197D3B8" w14:textId="77777777" w:rsidR="00535A26" w:rsidRPr="007312AA" w:rsidRDefault="00535A26" w:rsidP="00535A26">
      <w:pPr>
        <w:spacing w:after="0" w:line="240" w:lineRule="auto"/>
        <w:jc w:val="both"/>
        <w:rPr>
          <w:rFonts w:ascii="Times New Roman" w:eastAsia="Times New Roman" w:hAnsi="Times New Roman" w:cs="Times New Roman"/>
          <w:b/>
          <w:bCs/>
          <w:sz w:val="24"/>
          <w:szCs w:val="24"/>
        </w:rPr>
      </w:pPr>
      <w:r w:rsidRPr="007312AA">
        <w:rPr>
          <w:rFonts w:ascii="Times New Roman" w:eastAsia="Times New Roman" w:hAnsi="Times New Roman" w:cs="Times New Roman"/>
          <w:b/>
          <w:bCs/>
          <w:sz w:val="24"/>
          <w:szCs w:val="24"/>
        </w:rPr>
        <w:t>Informacijos šaltiniai</w:t>
      </w:r>
    </w:p>
    <w:p w14:paraId="58A20FC9" w14:textId="77777777" w:rsidR="00535A26" w:rsidRPr="007312AA" w:rsidRDefault="00535A26" w:rsidP="00535A26">
      <w:pPr>
        <w:spacing w:after="0" w:line="240" w:lineRule="auto"/>
        <w:jc w:val="both"/>
        <w:rPr>
          <w:rFonts w:ascii="Times New Roman" w:eastAsia="Times New Roman" w:hAnsi="Times New Roman" w:cs="Times New Roman"/>
          <w:sz w:val="24"/>
          <w:szCs w:val="24"/>
        </w:rPr>
      </w:pPr>
      <w:r w:rsidRPr="007312AA">
        <w:rPr>
          <w:rFonts w:ascii="Times New Roman" w:eastAsia="Times New Roman" w:hAnsi="Times New Roman" w:cs="Times New Roman"/>
          <w:sz w:val="24"/>
          <w:szCs w:val="24"/>
        </w:rPr>
        <w:t>Sprendimas priimtas remiantis kvalifikacijos turėtojo pateiktais dokumentais ir (ar) informacija, sprendimo priėmimo metu taikoma užsienio kvalifikacijų pripažinimo metodika ir praktika, Studijų kokybės vertinimo centro pateikiama bei Utenos kolegijos turima bei vertinimo metu surinkta informacija apie kilmės šalies švietimo sistemą, joje teikiamas kvalifikacijas ir baigtų studijų ar mokymosi aplinkybes.</w:t>
      </w:r>
    </w:p>
    <w:p w14:paraId="5C4478F8" w14:textId="77777777" w:rsidR="00535A26" w:rsidRDefault="00535A26" w:rsidP="00535A26">
      <w:pPr>
        <w:spacing w:after="0" w:line="240" w:lineRule="auto"/>
        <w:jc w:val="both"/>
        <w:rPr>
          <w:rFonts w:ascii="Times New Roman" w:eastAsia="Times New Roman" w:hAnsi="Times New Roman" w:cs="Times New Roman"/>
          <w:b/>
          <w:bCs/>
          <w:sz w:val="24"/>
          <w:szCs w:val="24"/>
        </w:rPr>
      </w:pPr>
    </w:p>
    <w:p w14:paraId="49E1B1F6" w14:textId="77777777" w:rsidR="00535A26" w:rsidRPr="007312AA" w:rsidRDefault="00535A26" w:rsidP="00535A26">
      <w:pPr>
        <w:spacing w:after="0" w:line="240" w:lineRule="auto"/>
        <w:jc w:val="both"/>
        <w:rPr>
          <w:sz w:val="24"/>
          <w:szCs w:val="24"/>
        </w:rPr>
      </w:pPr>
      <w:r w:rsidRPr="007312AA">
        <w:rPr>
          <w:rFonts w:ascii="Times New Roman" w:eastAsia="Times New Roman" w:hAnsi="Times New Roman" w:cs="Times New Roman"/>
          <w:b/>
          <w:bCs/>
          <w:sz w:val="24"/>
          <w:szCs w:val="24"/>
        </w:rPr>
        <w:t>Autentiškumas</w:t>
      </w:r>
    </w:p>
    <w:p w14:paraId="72750B79" w14:textId="77777777" w:rsidR="00535A26" w:rsidRPr="007312AA" w:rsidRDefault="00535A26" w:rsidP="00535A26">
      <w:pPr>
        <w:spacing w:after="0" w:line="240" w:lineRule="auto"/>
        <w:jc w:val="both"/>
        <w:rPr>
          <w:sz w:val="24"/>
          <w:szCs w:val="24"/>
        </w:rPr>
      </w:pPr>
      <w:r w:rsidRPr="007312AA">
        <w:rPr>
          <w:rFonts w:ascii="Times New Roman" w:eastAsia="Times New Roman" w:hAnsi="Times New Roman" w:cs="Times New Roman"/>
          <w:sz w:val="24"/>
          <w:szCs w:val="24"/>
        </w:rPr>
        <w:t>Siekiant, kad sprendimai dėl pripažinimo būtų priimami, kiek įmanoma, tik autentiškų dokumentų pagrindu, yra taikomi vidiniai ir (ar) išoriniai pateikiamų dokumentų tikrinimo mechanizmai. Visgi net ir šių mechanizmų taikymas negali garantuoti nei kvalifikacijos suteikimo fakto, nei pateiktų dokumentų autentiškumo. Pažymime, kad dokumento autentiškumo patvirtinimas yra jį išdavusio subjekto kompetencija.</w:t>
      </w:r>
    </w:p>
    <w:p w14:paraId="0F460A62" w14:textId="77777777" w:rsidR="00535A26" w:rsidRDefault="00535A26" w:rsidP="00535A26">
      <w:pPr>
        <w:spacing w:after="0" w:line="240" w:lineRule="auto"/>
        <w:jc w:val="both"/>
        <w:rPr>
          <w:rFonts w:ascii="Times New Roman" w:eastAsia="Times New Roman" w:hAnsi="Times New Roman" w:cs="Times New Roman"/>
          <w:b/>
          <w:bCs/>
          <w:sz w:val="24"/>
          <w:szCs w:val="24"/>
        </w:rPr>
      </w:pPr>
    </w:p>
    <w:p w14:paraId="0D091AF6" w14:textId="77777777" w:rsidR="00535A26" w:rsidRPr="007312AA" w:rsidRDefault="00535A26" w:rsidP="00535A26">
      <w:pPr>
        <w:spacing w:after="0" w:line="240" w:lineRule="auto"/>
        <w:jc w:val="both"/>
        <w:rPr>
          <w:sz w:val="24"/>
          <w:szCs w:val="24"/>
        </w:rPr>
      </w:pPr>
      <w:r w:rsidRPr="007312AA">
        <w:rPr>
          <w:rFonts w:ascii="Times New Roman" w:eastAsia="Times New Roman" w:hAnsi="Times New Roman" w:cs="Times New Roman"/>
          <w:b/>
          <w:bCs/>
          <w:sz w:val="24"/>
          <w:szCs w:val="24"/>
        </w:rPr>
        <w:t>Pripažinimo kriterijai</w:t>
      </w:r>
    </w:p>
    <w:p w14:paraId="315BFC2D" w14:textId="77777777" w:rsidR="00535A26" w:rsidRPr="007312AA" w:rsidRDefault="00535A26" w:rsidP="00535A26">
      <w:pPr>
        <w:spacing w:after="0" w:line="240" w:lineRule="auto"/>
        <w:jc w:val="both"/>
        <w:rPr>
          <w:sz w:val="24"/>
          <w:szCs w:val="24"/>
        </w:rPr>
      </w:pPr>
      <w:r w:rsidRPr="007312AA">
        <w:rPr>
          <w:rFonts w:ascii="Times New Roman" w:eastAsia="Times New Roman" w:hAnsi="Times New Roman" w:cs="Times New Roman"/>
          <w:sz w:val="24"/>
          <w:szCs w:val="24"/>
        </w:rPr>
        <w:t>Kvalifikacijos vertinimo metu lyginami šie kvalifikacijos elementai – lygmuo, kokybė, paskirtis, mokymosi (studijų) rezultatai, turinio struktūra, apimtis (trukmė). Lyginimo metu atsižvelgiama tik į bendruosius reikalavimus, keliamus atitinkamo tipo kvalifikacijoms, nepriklausomai nuo programos krypties ar profilio, ir yra remiamasi priimtinumo principu, t. y., sprendžiant dėl kvalifikacijos pripažinimo atsižvelgiama tik į esminius skirtumus tarp kvalifikacijų. Tai reiškia, kad vertinimo metu nėra atliekama detali kvalifikacijai įgyti skirtos programos turinio analizė ir neieškoma visiško tapatumo tarp kvalifikacijų. Galutinis sprendimas dėl asmens tinkamumo studijuoti atitinkamą programą priimamas priėmimo proceso metu, įvertinus užsienio kvalifikacijos atitikimą specialiesiems reikalavimams, keliamiems atitinkamai studijų programa.</w:t>
      </w:r>
    </w:p>
    <w:p w14:paraId="30E615A7" w14:textId="77777777" w:rsidR="00535A26" w:rsidRDefault="00535A26" w:rsidP="00535A26">
      <w:pPr>
        <w:spacing w:after="0" w:line="240" w:lineRule="auto"/>
        <w:jc w:val="both"/>
        <w:rPr>
          <w:rFonts w:ascii="Times New Roman" w:eastAsia="Times New Roman" w:hAnsi="Times New Roman" w:cs="Times New Roman"/>
          <w:b/>
          <w:bCs/>
          <w:sz w:val="24"/>
          <w:szCs w:val="24"/>
        </w:rPr>
      </w:pPr>
    </w:p>
    <w:p w14:paraId="05D97034" w14:textId="77777777" w:rsidR="00535A26" w:rsidRPr="007312AA" w:rsidRDefault="00535A26" w:rsidP="00535A26">
      <w:pPr>
        <w:spacing w:after="0" w:line="240" w:lineRule="auto"/>
        <w:jc w:val="both"/>
        <w:rPr>
          <w:sz w:val="24"/>
          <w:szCs w:val="24"/>
        </w:rPr>
      </w:pPr>
      <w:r w:rsidRPr="007312AA">
        <w:rPr>
          <w:rFonts w:ascii="Times New Roman" w:eastAsia="Times New Roman" w:hAnsi="Times New Roman" w:cs="Times New Roman"/>
          <w:b/>
          <w:bCs/>
          <w:sz w:val="24"/>
          <w:szCs w:val="24"/>
        </w:rPr>
        <w:t>Apskundimo tvarka</w:t>
      </w:r>
    </w:p>
    <w:p w14:paraId="01B227C7" w14:textId="77777777" w:rsidR="00535A26" w:rsidRPr="00457883" w:rsidRDefault="00535A26" w:rsidP="00535A26">
      <w:pPr>
        <w:spacing w:after="0" w:line="240" w:lineRule="auto"/>
        <w:jc w:val="both"/>
        <w:rPr>
          <w:rFonts w:ascii="Times New Roman" w:eastAsia="Times New Roman" w:hAnsi="Times New Roman" w:cs="Times New Roman"/>
          <w:sz w:val="24"/>
          <w:szCs w:val="24"/>
        </w:rPr>
      </w:pPr>
      <w:r w:rsidRPr="007A46AB">
        <w:rPr>
          <w:rFonts w:ascii="Times New Roman" w:eastAsia="Times New Roman" w:hAnsi="Times New Roman" w:cs="Times New Roman"/>
          <w:sz w:val="24"/>
          <w:szCs w:val="24"/>
        </w:rPr>
        <w:t xml:space="preserve">Kvalifikacijos turėtojas, nesutinkantis su Utenos kolegijos sprendimu dėl kvalifikacijos akademinio pripažinimo, gali per 10 darbo dienų pateikti prašymą Kolegijos direktoriui peržiūrėti užsienio kvalifikacijos </w:t>
      </w:r>
      <w:r w:rsidRPr="007A46AB">
        <w:rPr>
          <w:rFonts w:ascii="Times New Roman" w:eastAsia="Times New Roman" w:hAnsi="Times New Roman" w:cs="Times New Roman"/>
          <w:sz w:val="24"/>
          <w:szCs w:val="24"/>
        </w:rPr>
        <w:lastRenderedPageBreak/>
        <w:t>pripažinimo sprendimą, nurodydamas tokio prašymo motyvus ir pateikdamas išsilavinimo dokumentų originalus; Kvalifikacijos turėtojas, nesutinkantis su galutiniu Utenos kolegijos sprendimu dėl kvalifikacijos akademinio pripažinimo, gali per</w:t>
      </w:r>
      <w:r w:rsidRPr="007A46AB">
        <w:rPr>
          <w:rFonts w:ascii="Times New Roman" w:hAnsi="Times New Roman" w:cs="Times New Roman"/>
          <w:sz w:val="24"/>
          <w:szCs w:val="24"/>
          <w:shd w:val="clear" w:color="auto" w:fill="FFFFFF"/>
        </w:rPr>
        <w:t xml:space="preserve"> </w:t>
      </w:r>
      <w:bookmarkStart w:id="2" w:name="_Hlk187157828"/>
      <w:r w:rsidRPr="007A46AB">
        <w:rPr>
          <w:rFonts w:ascii="Times New Roman" w:hAnsi="Times New Roman" w:cs="Times New Roman"/>
          <w:sz w:val="24"/>
          <w:szCs w:val="24"/>
          <w:shd w:val="clear" w:color="auto" w:fill="FFFFFF"/>
        </w:rPr>
        <w:t xml:space="preserve">10 darbo dienų nuo sprendimo įteikimo dienos pateikti apeliaciją </w:t>
      </w:r>
      <w:r w:rsidRPr="007A46AB">
        <w:rPr>
          <w:rFonts w:ascii="Times New Roman" w:eastAsia="Times New Roman" w:hAnsi="Times New Roman" w:cs="Times New Roman"/>
          <w:sz w:val="24"/>
          <w:szCs w:val="24"/>
        </w:rPr>
        <w:t>Studijų kokybės vertinimo centro apeliacinei komisijai.</w:t>
      </w:r>
      <w:bookmarkEnd w:id="2"/>
    </w:p>
    <w:p w14:paraId="2AACA934" w14:textId="77777777" w:rsidR="00F751D6" w:rsidRPr="00535A26" w:rsidRDefault="00F751D6" w:rsidP="00535A26"/>
    <w:sectPr w:rsidR="00F751D6" w:rsidRPr="00535A26" w:rsidSect="004F52FF">
      <w:footerReference w:type="default" r:id="rId5"/>
      <w:pgSz w:w="11906" w:h="16838"/>
      <w:pgMar w:top="1134" w:right="567" w:bottom="638"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237046"/>
      <w:docPartObj>
        <w:docPartGallery w:val="Page Numbers (Bottom of Page)"/>
        <w:docPartUnique/>
      </w:docPartObj>
    </w:sdtPr>
    <w:sdtEndPr/>
    <w:sdtContent>
      <w:p w14:paraId="04FD7D16" w14:textId="77777777" w:rsidR="00E456CD" w:rsidRDefault="00205DCF">
        <w:pPr>
          <w:pStyle w:val="Footer"/>
          <w:jc w:val="right"/>
        </w:pPr>
        <w:r>
          <w:fldChar w:fldCharType="begin"/>
        </w:r>
        <w:r>
          <w:instrText xml:space="preserve">PAGE   </w:instrText>
        </w:r>
        <w:r>
          <w:instrText>\* MERGEFORMAT</w:instrText>
        </w:r>
        <w:r>
          <w:fldChar w:fldCharType="separate"/>
        </w:r>
        <w:r>
          <w:rPr>
            <w:noProof/>
          </w:rPr>
          <w:t>10</w:t>
        </w:r>
        <w:r>
          <w:fldChar w:fldCharType="end"/>
        </w:r>
      </w:p>
    </w:sdtContent>
  </w:sdt>
  <w:p w14:paraId="0BB4670C" w14:textId="77777777" w:rsidR="00E456CD" w:rsidRDefault="00205DC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8C9EA"/>
    <w:multiLevelType w:val="hybridMultilevel"/>
    <w:tmpl w:val="2AFC7478"/>
    <w:lvl w:ilvl="0" w:tplc="B71C56EC">
      <w:start w:val="1"/>
      <w:numFmt w:val="bullet"/>
      <w:lvlText w:val=""/>
      <w:lvlJc w:val="left"/>
      <w:pPr>
        <w:ind w:left="720" w:hanging="360"/>
      </w:pPr>
      <w:rPr>
        <w:rFonts w:ascii="Symbol" w:hAnsi="Symbol" w:hint="default"/>
      </w:rPr>
    </w:lvl>
    <w:lvl w:ilvl="1" w:tplc="F466B6F4">
      <w:start w:val="1"/>
      <w:numFmt w:val="bullet"/>
      <w:lvlText w:val="o"/>
      <w:lvlJc w:val="left"/>
      <w:pPr>
        <w:ind w:left="1440" w:hanging="360"/>
      </w:pPr>
      <w:rPr>
        <w:rFonts w:ascii="Courier New" w:hAnsi="Courier New" w:hint="default"/>
      </w:rPr>
    </w:lvl>
    <w:lvl w:ilvl="2" w:tplc="39E0CE74">
      <w:start w:val="1"/>
      <w:numFmt w:val="bullet"/>
      <w:lvlText w:val=""/>
      <w:lvlJc w:val="left"/>
      <w:pPr>
        <w:ind w:left="2160" w:hanging="360"/>
      </w:pPr>
      <w:rPr>
        <w:rFonts w:ascii="Wingdings" w:hAnsi="Wingdings" w:hint="default"/>
      </w:rPr>
    </w:lvl>
    <w:lvl w:ilvl="3" w:tplc="AF469F36">
      <w:start w:val="1"/>
      <w:numFmt w:val="bullet"/>
      <w:lvlText w:val=""/>
      <w:lvlJc w:val="left"/>
      <w:pPr>
        <w:ind w:left="2880" w:hanging="360"/>
      </w:pPr>
      <w:rPr>
        <w:rFonts w:ascii="Symbol" w:hAnsi="Symbol" w:hint="default"/>
      </w:rPr>
    </w:lvl>
    <w:lvl w:ilvl="4" w:tplc="7EA4DBCC">
      <w:start w:val="1"/>
      <w:numFmt w:val="bullet"/>
      <w:lvlText w:val="o"/>
      <w:lvlJc w:val="left"/>
      <w:pPr>
        <w:ind w:left="3600" w:hanging="360"/>
      </w:pPr>
      <w:rPr>
        <w:rFonts w:ascii="Courier New" w:hAnsi="Courier New" w:hint="default"/>
      </w:rPr>
    </w:lvl>
    <w:lvl w:ilvl="5" w:tplc="9BFA4DE4">
      <w:start w:val="1"/>
      <w:numFmt w:val="bullet"/>
      <w:lvlText w:val=""/>
      <w:lvlJc w:val="left"/>
      <w:pPr>
        <w:ind w:left="4320" w:hanging="360"/>
      </w:pPr>
      <w:rPr>
        <w:rFonts w:ascii="Wingdings" w:hAnsi="Wingdings" w:hint="default"/>
      </w:rPr>
    </w:lvl>
    <w:lvl w:ilvl="6" w:tplc="AB1E5216">
      <w:start w:val="1"/>
      <w:numFmt w:val="bullet"/>
      <w:lvlText w:val=""/>
      <w:lvlJc w:val="left"/>
      <w:pPr>
        <w:ind w:left="5040" w:hanging="360"/>
      </w:pPr>
      <w:rPr>
        <w:rFonts w:ascii="Symbol" w:hAnsi="Symbol" w:hint="default"/>
      </w:rPr>
    </w:lvl>
    <w:lvl w:ilvl="7" w:tplc="8DEC1CE4">
      <w:start w:val="1"/>
      <w:numFmt w:val="bullet"/>
      <w:lvlText w:val="o"/>
      <w:lvlJc w:val="left"/>
      <w:pPr>
        <w:ind w:left="5760" w:hanging="360"/>
      </w:pPr>
      <w:rPr>
        <w:rFonts w:ascii="Courier New" w:hAnsi="Courier New" w:hint="default"/>
      </w:rPr>
    </w:lvl>
    <w:lvl w:ilvl="8" w:tplc="D5D604C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6"/>
    <w:rsid w:val="00205DCF"/>
    <w:rsid w:val="00535A26"/>
    <w:rsid w:val="00F751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D4E0"/>
  <w15:chartTrackingRefBased/>
  <w15:docId w15:val="{14B4DF28-0D6A-40FD-B9C8-80875187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5A26"/>
    <w:pPr>
      <w:tabs>
        <w:tab w:val="center" w:pos="4819"/>
        <w:tab w:val="right" w:pos="9638"/>
      </w:tabs>
      <w:spacing w:after="0" w:line="240" w:lineRule="auto"/>
    </w:pPr>
  </w:style>
  <w:style w:type="character" w:customStyle="1" w:styleId="FooterChar">
    <w:name w:val="Footer Char"/>
    <w:basedOn w:val="DefaultParagraphFont"/>
    <w:link w:val="Footer"/>
    <w:uiPriority w:val="99"/>
    <w:rsid w:val="00535A26"/>
  </w:style>
  <w:style w:type="paragraph" w:styleId="ListParagraph">
    <w:name w:val="List Paragraph"/>
    <w:basedOn w:val="Normal"/>
    <w:uiPriority w:val="34"/>
    <w:qFormat/>
    <w:rsid w:val="00535A26"/>
    <w:pPr>
      <w:spacing w:after="0" w:line="240" w:lineRule="auto"/>
      <w:ind w:left="720"/>
      <w:contextualSpacing/>
    </w:pPr>
    <w:rPr>
      <w:rFonts w:ascii="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2596</Words>
  <Characters>1481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2025-01-28T18:52:00Z</cp:lastPrinted>
  <dcterms:created xsi:type="dcterms:W3CDTF">2025-01-28T19:00:00Z</dcterms:created>
  <dcterms:modified xsi:type="dcterms:W3CDTF">2025-01-28T19:00:00Z</dcterms:modified>
</cp:coreProperties>
</file>